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8CF" w:rsidRPr="000C721B" w:rsidRDefault="000C721B" w:rsidP="000C721B">
      <w:pPr>
        <w:pStyle w:val="Ttulo1"/>
        <w:jc w:val="center"/>
        <w:rPr>
          <w:rFonts w:ascii="Garamond" w:hAnsi="Garamond"/>
          <w:sz w:val="24"/>
          <w:szCs w:val="24"/>
        </w:rPr>
      </w:pPr>
      <w:bookmarkStart w:id="0" w:name="_GoBack"/>
      <w:r w:rsidRPr="000C721B">
        <w:rPr>
          <w:rFonts w:ascii="Garamond" w:hAnsi="Garamond"/>
          <w:sz w:val="24"/>
          <w:szCs w:val="24"/>
        </w:rPr>
        <w:t>CONCEPTO JURÍDICO – ACTUACIÓN ADMINISTRATIVA SI-ACTÚA 9433 DE 2016</w:t>
      </w:r>
    </w:p>
    <w:p w:rsidR="00BD38CF" w:rsidRPr="000C721B" w:rsidRDefault="00BD38CF" w:rsidP="000C721B">
      <w:pPr>
        <w:jc w:val="center"/>
        <w:rPr>
          <w:rFonts w:ascii="Garamond" w:hAnsi="Garamond"/>
          <w:sz w:val="24"/>
          <w:szCs w:val="24"/>
        </w:rPr>
      </w:pPr>
    </w:p>
    <w:p w:rsidR="00BD38CF" w:rsidRPr="000C721B" w:rsidRDefault="000C721B" w:rsidP="000C721B">
      <w:pPr>
        <w:jc w:val="both"/>
        <w:rPr>
          <w:rFonts w:ascii="Garamond" w:hAnsi="Garamond"/>
          <w:b/>
          <w:sz w:val="24"/>
          <w:szCs w:val="24"/>
        </w:rPr>
      </w:pPr>
      <w:r w:rsidRPr="000C721B">
        <w:rPr>
          <w:rFonts w:ascii="Garamond" w:hAnsi="Garamond"/>
          <w:b/>
          <w:sz w:val="24"/>
          <w:szCs w:val="24"/>
        </w:rPr>
        <w:t>OBJETO DEL CONCEPTO:</w:t>
      </w:r>
    </w:p>
    <w:p w:rsidR="00BD38CF" w:rsidRPr="000C721B" w:rsidRDefault="000C721B" w:rsidP="000C721B">
      <w:pPr>
        <w:jc w:val="both"/>
        <w:rPr>
          <w:rFonts w:ascii="Garamond" w:hAnsi="Garamond"/>
          <w:sz w:val="24"/>
          <w:szCs w:val="24"/>
        </w:rPr>
      </w:pPr>
      <w:r w:rsidRPr="000C721B">
        <w:rPr>
          <w:rFonts w:ascii="Garamond" w:hAnsi="Garamond"/>
          <w:sz w:val="24"/>
          <w:szCs w:val="24"/>
        </w:rPr>
        <w:t>El presente concepto tiene por finalidad determinar la necesidad de realizar una nueva visita técnica dentro de la actuación administrativa SI</w:t>
      </w:r>
      <w:r w:rsidRPr="000C721B">
        <w:rPr>
          <w:rFonts w:ascii="Times New Roman" w:hAnsi="Times New Roman" w:cs="Times New Roman"/>
          <w:sz w:val="24"/>
          <w:szCs w:val="24"/>
        </w:rPr>
        <w:t>‑</w:t>
      </w:r>
      <w:r w:rsidRPr="000C721B">
        <w:rPr>
          <w:rFonts w:ascii="Garamond" w:hAnsi="Garamond"/>
          <w:sz w:val="24"/>
          <w:szCs w:val="24"/>
        </w:rPr>
        <w:t>ACT</w:t>
      </w:r>
      <w:r w:rsidRPr="000C721B">
        <w:rPr>
          <w:rFonts w:ascii="Garamond" w:hAnsi="Garamond" w:cs="Garamond"/>
          <w:sz w:val="24"/>
          <w:szCs w:val="24"/>
        </w:rPr>
        <w:t>Ú</w:t>
      </w:r>
      <w:r w:rsidRPr="000C721B">
        <w:rPr>
          <w:rFonts w:ascii="Garamond" w:hAnsi="Garamond"/>
          <w:sz w:val="24"/>
          <w:szCs w:val="24"/>
        </w:rPr>
        <w:t>A 9433 de 2016, con</w:t>
      </w:r>
      <w:r w:rsidRPr="000C721B">
        <w:rPr>
          <w:rFonts w:ascii="Garamond" w:hAnsi="Garamond"/>
          <w:sz w:val="24"/>
          <w:szCs w:val="24"/>
        </w:rPr>
        <w:t xml:space="preserve"> el fin de individualizar plenamente al propietario, poseedor o responsable de la ocupación del espacio público, conforme a los principios de debido proceso y a las reglas del </w:t>
      </w:r>
      <w:proofErr w:type="spellStart"/>
      <w:r w:rsidRPr="000C721B">
        <w:rPr>
          <w:rFonts w:ascii="Garamond" w:hAnsi="Garamond"/>
          <w:sz w:val="24"/>
          <w:szCs w:val="24"/>
        </w:rPr>
        <w:t>procedimiento</w:t>
      </w:r>
      <w:proofErr w:type="spellEnd"/>
      <w:r w:rsidRPr="000C721B">
        <w:rPr>
          <w:rFonts w:ascii="Garamond" w:hAnsi="Garamond"/>
          <w:sz w:val="24"/>
          <w:szCs w:val="24"/>
        </w:rPr>
        <w:t xml:space="preserve"> </w:t>
      </w:r>
      <w:proofErr w:type="spellStart"/>
      <w:r w:rsidRPr="000C721B">
        <w:rPr>
          <w:rFonts w:ascii="Garamond" w:hAnsi="Garamond"/>
          <w:sz w:val="24"/>
          <w:szCs w:val="24"/>
        </w:rPr>
        <w:t>administrativo</w:t>
      </w:r>
      <w:proofErr w:type="spellEnd"/>
      <w:r w:rsidRPr="000C721B">
        <w:rPr>
          <w:rFonts w:ascii="Garamond" w:hAnsi="Garamond"/>
          <w:sz w:val="24"/>
          <w:szCs w:val="24"/>
        </w:rPr>
        <w:t xml:space="preserve"> </w:t>
      </w:r>
      <w:proofErr w:type="spellStart"/>
      <w:r w:rsidRPr="000C721B">
        <w:rPr>
          <w:rFonts w:ascii="Garamond" w:hAnsi="Garamond"/>
          <w:sz w:val="24"/>
          <w:szCs w:val="24"/>
        </w:rPr>
        <w:t>sancionatorio</w:t>
      </w:r>
      <w:proofErr w:type="spellEnd"/>
      <w:r w:rsidRPr="000C721B">
        <w:rPr>
          <w:rFonts w:ascii="Garamond" w:hAnsi="Garamond"/>
          <w:sz w:val="24"/>
          <w:szCs w:val="24"/>
        </w:rPr>
        <w:t>.</w:t>
      </w:r>
    </w:p>
    <w:p w:rsidR="00BD38CF" w:rsidRPr="000C721B" w:rsidRDefault="000C721B" w:rsidP="000C721B">
      <w:pPr>
        <w:jc w:val="both"/>
        <w:rPr>
          <w:rFonts w:ascii="Garamond" w:hAnsi="Garamond"/>
          <w:b/>
          <w:sz w:val="24"/>
          <w:szCs w:val="24"/>
        </w:rPr>
      </w:pPr>
      <w:r w:rsidRPr="000C721B">
        <w:rPr>
          <w:rFonts w:ascii="Garamond" w:hAnsi="Garamond"/>
          <w:b/>
          <w:sz w:val="24"/>
          <w:szCs w:val="24"/>
        </w:rPr>
        <w:t>FUNDAMENTO JURÍDICO:</w:t>
      </w:r>
    </w:p>
    <w:p w:rsidR="00BD38CF" w:rsidRPr="000C721B" w:rsidRDefault="000C721B" w:rsidP="000C721B">
      <w:pPr>
        <w:jc w:val="both"/>
        <w:rPr>
          <w:rFonts w:ascii="Garamond" w:hAnsi="Garamond"/>
          <w:sz w:val="24"/>
          <w:szCs w:val="24"/>
        </w:rPr>
      </w:pPr>
      <w:r w:rsidRPr="000C721B">
        <w:rPr>
          <w:rFonts w:ascii="Garamond" w:hAnsi="Garamond"/>
          <w:sz w:val="24"/>
          <w:szCs w:val="24"/>
        </w:rPr>
        <w:t>El artículo 34</w:t>
      </w:r>
      <w:r w:rsidRPr="000C721B">
        <w:rPr>
          <w:rFonts w:ascii="Garamond" w:hAnsi="Garamond"/>
          <w:sz w:val="24"/>
          <w:szCs w:val="24"/>
        </w:rPr>
        <w:t xml:space="preserve"> de la Ley 1437 de 2011 (CPACA) establece que en las actuaciones administrativas sancionatorias deben garantizarse los derechos de defensa y contradicción. El artículo 35 señala los requisitos de la formulación de cargos, y el artículo 36 dispone que el ad</w:t>
      </w:r>
      <w:r w:rsidRPr="000C721B">
        <w:rPr>
          <w:rFonts w:ascii="Garamond" w:hAnsi="Garamond"/>
          <w:sz w:val="24"/>
          <w:szCs w:val="24"/>
        </w:rPr>
        <w:t xml:space="preserve">ministrado dispone de un término para presentar </w:t>
      </w:r>
      <w:proofErr w:type="spellStart"/>
      <w:r w:rsidRPr="000C721B">
        <w:rPr>
          <w:rFonts w:ascii="Garamond" w:hAnsi="Garamond"/>
          <w:sz w:val="24"/>
          <w:szCs w:val="24"/>
        </w:rPr>
        <w:t>descargos</w:t>
      </w:r>
      <w:proofErr w:type="spellEnd"/>
      <w:r w:rsidRPr="000C721B">
        <w:rPr>
          <w:rFonts w:ascii="Garamond" w:hAnsi="Garamond"/>
          <w:sz w:val="24"/>
          <w:szCs w:val="24"/>
        </w:rPr>
        <w:t xml:space="preserve"> y </w:t>
      </w:r>
      <w:proofErr w:type="spellStart"/>
      <w:r w:rsidRPr="000C721B">
        <w:rPr>
          <w:rFonts w:ascii="Garamond" w:hAnsi="Garamond"/>
          <w:sz w:val="24"/>
          <w:szCs w:val="24"/>
        </w:rPr>
        <w:t>aportar</w:t>
      </w:r>
      <w:proofErr w:type="spellEnd"/>
      <w:r w:rsidRPr="000C721B">
        <w:rPr>
          <w:rFonts w:ascii="Garamond" w:hAnsi="Garamond"/>
          <w:sz w:val="24"/>
          <w:szCs w:val="24"/>
        </w:rPr>
        <w:t xml:space="preserve"> </w:t>
      </w:r>
      <w:proofErr w:type="spellStart"/>
      <w:r w:rsidRPr="000C721B">
        <w:rPr>
          <w:rFonts w:ascii="Garamond" w:hAnsi="Garamond"/>
          <w:sz w:val="24"/>
          <w:szCs w:val="24"/>
        </w:rPr>
        <w:t>pruebas</w:t>
      </w:r>
      <w:proofErr w:type="spellEnd"/>
      <w:r w:rsidRPr="000C721B">
        <w:rPr>
          <w:rFonts w:ascii="Garamond" w:hAnsi="Garamond"/>
          <w:sz w:val="24"/>
          <w:szCs w:val="24"/>
        </w:rPr>
        <w:t>.</w:t>
      </w:r>
    </w:p>
    <w:p w:rsidR="00BD38CF" w:rsidRPr="000C721B" w:rsidRDefault="000C721B" w:rsidP="000C721B">
      <w:pPr>
        <w:jc w:val="both"/>
        <w:rPr>
          <w:rFonts w:ascii="Garamond" w:hAnsi="Garamond"/>
          <w:sz w:val="24"/>
          <w:szCs w:val="24"/>
        </w:rPr>
      </w:pPr>
      <w:r w:rsidRPr="000C721B">
        <w:rPr>
          <w:rFonts w:ascii="Garamond" w:hAnsi="Garamond"/>
          <w:sz w:val="24"/>
          <w:szCs w:val="24"/>
        </w:rPr>
        <w:t>De igual forma, el artículo 37 del CPACA faculta a la autoridad administrativa para decretar y practicar pruebas de oficio, cuando éstas sean necesarias para el esclarecimiento d</w:t>
      </w:r>
      <w:r w:rsidRPr="000C721B">
        <w:rPr>
          <w:rFonts w:ascii="Garamond" w:hAnsi="Garamond"/>
          <w:sz w:val="24"/>
          <w:szCs w:val="24"/>
        </w:rPr>
        <w:t>e los hechos, la determinación de la infracción o la individualización del presunto infractor.</w:t>
      </w:r>
    </w:p>
    <w:p w:rsidR="00BD38CF" w:rsidRPr="000C721B" w:rsidRDefault="00BD38CF" w:rsidP="000C721B">
      <w:pPr>
        <w:jc w:val="both"/>
        <w:rPr>
          <w:rFonts w:ascii="Garamond" w:hAnsi="Garamond"/>
          <w:sz w:val="24"/>
          <w:szCs w:val="24"/>
        </w:rPr>
      </w:pPr>
    </w:p>
    <w:p w:rsidR="00BD38CF" w:rsidRPr="000C721B" w:rsidRDefault="000C721B" w:rsidP="000C721B">
      <w:pPr>
        <w:jc w:val="both"/>
        <w:rPr>
          <w:rFonts w:ascii="Garamond" w:hAnsi="Garamond"/>
          <w:b/>
          <w:sz w:val="24"/>
          <w:szCs w:val="24"/>
        </w:rPr>
      </w:pPr>
      <w:r w:rsidRPr="000C721B">
        <w:rPr>
          <w:rFonts w:ascii="Garamond" w:hAnsi="Garamond"/>
          <w:b/>
          <w:sz w:val="24"/>
          <w:szCs w:val="24"/>
        </w:rPr>
        <w:t>SITUACIÓN DEL EXPEDIENTE:</w:t>
      </w:r>
    </w:p>
    <w:p w:rsidR="00BD38CF" w:rsidRPr="000C721B" w:rsidRDefault="000C721B" w:rsidP="000C721B">
      <w:pPr>
        <w:jc w:val="both"/>
        <w:rPr>
          <w:rFonts w:ascii="Garamond" w:hAnsi="Garamond"/>
          <w:sz w:val="24"/>
          <w:szCs w:val="24"/>
        </w:rPr>
      </w:pPr>
      <w:r w:rsidRPr="000C721B">
        <w:rPr>
          <w:rFonts w:ascii="Garamond" w:hAnsi="Garamond"/>
          <w:sz w:val="24"/>
          <w:szCs w:val="24"/>
        </w:rPr>
        <w:t>Tras la revisión del expediente SI</w:t>
      </w:r>
      <w:r w:rsidRPr="000C721B">
        <w:rPr>
          <w:rFonts w:ascii="Times New Roman" w:hAnsi="Times New Roman" w:cs="Times New Roman"/>
          <w:sz w:val="24"/>
          <w:szCs w:val="24"/>
        </w:rPr>
        <w:t>‑</w:t>
      </w:r>
      <w:r w:rsidRPr="000C721B">
        <w:rPr>
          <w:rFonts w:ascii="Garamond" w:hAnsi="Garamond"/>
          <w:sz w:val="24"/>
          <w:szCs w:val="24"/>
        </w:rPr>
        <w:t>ACT</w:t>
      </w:r>
      <w:r w:rsidRPr="000C721B">
        <w:rPr>
          <w:rFonts w:ascii="Garamond" w:hAnsi="Garamond" w:cs="Garamond"/>
          <w:sz w:val="24"/>
          <w:szCs w:val="24"/>
        </w:rPr>
        <w:t>Ú</w:t>
      </w:r>
      <w:r w:rsidRPr="000C721B">
        <w:rPr>
          <w:rFonts w:ascii="Garamond" w:hAnsi="Garamond"/>
          <w:sz w:val="24"/>
          <w:szCs w:val="24"/>
        </w:rPr>
        <w:t>A 9433 de 2016, se observa que la visita t</w:t>
      </w:r>
      <w:r w:rsidRPr="000C721B">
        <w:rPr>
          <w:rFonts w:ascii="Garamond" w:hAnsi="Garamond" w:cs="Garamond"/>
          <w:sz w:val="24"/>
          <w:szCs w:val="24"/>
        </w:rPr>
        <w:t>é</w:t>
      </w:r>
      <w:r w:rsidRPr="000C721B">
        <w:rPr>
          <w:rFonts w:ascii="Garamond" w:hAnsi="Garamond"/>
          <w:sz w:val="24"/>
          <w:szCs w:val="24"/>
        </w:rPr>
        <w:t>cnica realizada el 30 de agosto de 2016 constat</w:t>
      </w:r>
      <w:r w:rsidRPr="000C721B">
        <w:rPr>
          <w:rFonts w:ascii="Garamond" w:hAnsi="Garamond" w:cs="Garamond"/>
          <w:sz w:val="24"/>
          <w:szCs w:val="24"/>
        </w:rPr>
        <w:t>ó</w:t>
      </w:r>
      <w:r w:rsidRPr="000C721B">
        <w:rPr>
          <w:rFonts w:ascii="Garamond" w:hAnsi="Garamond"/>
          <w:sz w:val="24"/>
          <w:szCs w:val="24"/>
        </w:rPr>
        <w:t xml:space="preserve"> la </w:t>
      </w:r>
      <w:r w:rsidRPr="000C721B">
        <w:rPr>
          <w:rFonts w:ascii="Garamond" w:hAnsi="Garamond"/>
          <w:sz w:val="24"/>
          <w:szCs w:val="24"/>
        </w:rPr>
        <w:t>existencia de dos casetas metálicas instaladas sobre espacio público vial (RUPI 446</w:t>
      </w:r>
      <w:r w:rsidRPr="000C721B">
        <w:rPr>
          <w:rFonts w:ascii="Times New Roman" w:hAnsi="Times New Roman" w:cs="Times New Roman"/>
          <w:sz w:val="24"/>
          <w:szCs w:val="24"/>
        </w:rPr>
        <w:t>‑</w:t>
      </w:r>
      <w:r w:rsidRPr="000C721B">
        <w:rPr>
          <w:rFonts w:ascii="Garamond" w:hAnsi="Garamond"/>
          <w:sz w:val="24"/>
          <w:szCs w:val="24"/>
        </w:rPr>
        <w:t>1). No obstante, durante dicha visita no se identific</w:t>
      </w:r>
      <w:r w:rsidRPr="000C721B">
        <w:rPr>
          <w:rFonts w:ascii="Garamond" w:hAnsi="Garamond" w:cs="Garamond"/>
          <w:sz w:val="24"/>
          <w:szCs w:val="24"/>
        </w:rPr>
        <w:t>ó</w:t>
      </w:r>
      <w:r w:rsidRPr="000C721B">
        <w:rPr>
          <w:rFonts w:ascii="Garamond" w:hAnsi="Garamond"/>
          <w:sz w:val="24"/>
          <w:szCs w:val="24"/>
        </w:rPr>
        <w:t xml:space="preserve"> a la persona </w:t>
      </w:r>
      <w:proofErr w:type="spellStart"/>
      <w:r w:rsidRPr="000C721B">
        <w:rPr>
          <w:rFonts w:ascii="Garamond" w:hAnsi="Garamond"/>
          <w:sz w:val="24"/>
          <w:szCs w:val="24"/>
        </w:rPr>
        <w:t>responsable</w:t>
      </w:r>
      <w:proofErr w:type="spellEnd"/>
      <w:r w:rsidRPr="000C721B">
        <w:rPr>
          <w:rFonts w:ascii="Garamond" w:hAnsi="Garamond"/>
          <w:sz w:val="24"/>
          <w:szCs w:val="24"/>
        </w:rPr>
        <w:t xml:space="preserve"> de la </w:t>
      </w:r>
      <w:proofErr w:type="spellStart"/>
      <w:r w:rsidRPr="000C721B">
        <w:rPr>
          <w:rFonts w:ascii="Garamond" w:hAnsi="Garamond"/>
          <w:sz w:val="24"/>
          <w:szCs w:val="24"/>
        </w:rPr>
        <w:t>ocupaci</w:t>
      </w:r>
      <w:r w:rsidRPr="000C721B">
        <w:rPr>
          <w:rFonts w:ascii="Garamond" w:hAnsi="Garamond" w:cs="Garamond"/>
          <w:sz w:val="24"/>
          <w:szCs w:val="24"/>
        </w:rPr>
        <w:t>ó</w:t>
      </w:r>
      <w:r w:rsidRPr="000C721B">
        <w:rPr>
          <w:rFonts w:ascii="Garamond" w:hAnsi="Garamond"/>
          <w:sz w:val="24"/>
          <w:szCs w:val="24"/>
        </w:rPr>
        <w:t>n</w:t>
      </w:r>
      <w:proofErr w:type="spellEnd"/>
      <w:r w:rsidRPr="000C721B">
        <w:rPr>
          <w:rFonts w:ascii="Garamond" w:hAnsi="Garamond"/>
          <w:sz w:val="24"/>
          <w:szCs w:val="24"/>
        </w:rPr>
        <w:t>.</w:t>
      </w:r>
    </w:p>
    <w:p w:rsidR="00BD38CF" w:rsidRPr="000C721B" w:rsidRDefault="000C721B" w:rsidP="000C721B">
      <w:pPr>
        <w:jc w:val="both"/>
        <w:rPr>
          <w:rFonts w:ascii="Garamond" w:hAnsi="Garamond"/>
          <w:sz w:val="24"/>
          <w:szCs w:val="24"/>
        </w:rPr>
      </w:pPr>
      <w:r w:rsidRPr="000C721B">
        <w:rPr>
          <w:rFonts w:ascii="Garamond" w:hAnsi="Garamond"/>
          <w:sz w:val="24"/>
          <w:szCs w:val="24"/>
        </w:rPr>
        <w:t>El expediente tampoco cuenta con documentos que permitan establecer con ce</w:t>
      </w:r>
      <w:r w:rsidRPr="000C721B">
        <w:rPr>
          <w:rFonts w:ascii="Garamond" w:hAnsi="Garamond"/>
          <w:sz w:val="24"/>
          <w:szCs w:val="24"/>
        </w:rPr>
        <w:t>rteza quién ejerce actos de dominio, posesión o tenencia sobre las estructuras, lo cual impide dirigir el procedimiento sancionatorio con claridad hacia un sujeto específico.</w:t>
      </w:r>
    </w:p>
    <w:p w:rsidR="00BD38CF" w:rsidRPr="000C721B" w:rsidRDefault="00BD38CF" w:rsidP="000C721B">
      <w:pPr>
        <w:jc w:val="both"/>
        <w:rPr>
          <w:rFonts w:ascii="Garamond" w:hAnsi="Garamond"/>
          <w:sz w:val="24"/>
          <w:szCs w:val="24"/>
        </w:rPr>
      </w:pPr>
    </w:p>
    <w:p w:rsidR="00BD38CF" w:rsidRPr="000C721B" w:rsidRDefault="000C721B" w:rsidP="000C721B">
      <w:pPr>
        <w:jc w:val="both"/>
        <w:rPr>
          <w:rFonts w:ascii="Garamond" w:hAnsi="Garamond"/>
          <w:b/>
          <w:sz w:val="24"/>
          <w:szCs w:val="24"/>
        </w:rPr>
      </w:pPr>
      <w:r w:rsidRPr="000C721B">
        <w:rPr>
          <w:rFonts w:ascii="Garamond" w:hAnsi="Garamond"/>
          <w:b/>
          <w:sz w:val="24"/>
          <w:szCs w:val="24"/>
        </w:rPr>
        <w:t>NECESIDAD DE UNA NUEVA VISITA:</w:t>
      </w:r>
    </w:p>
    <w:p w:rsidR="00BD38CF" w:rsidRPr="000C721B" w:rsidRDefault="000C721B" w:rsidP="000C721B">
      <w:pPr>
        <w:jc w:val="both"/>
        <w:rPr>
          <w:rFonts w:ascii="Garamond" w:hAnsi="Garamond"/>
          <w:sz w:val="24"/>
          <w:szCs w:val="24"/>
        </w:rPr>
      </w:pPr>
      <w:r w:rsidRPr="000C721B">
        <w:rPr>
          <w:rFonts w:ascii="Garamond" w:hAnsi="Garamond"/>
          <w:sz w:val="24"/>
          <w:szCs w:val="24"/>
        </w:rPr>
        <w:t>Con el propósito de garantizar un procedimiento a</w:t>
      </w:r>
      <w:r w:rsidRPr="000C721B">
        <w:rPr>
          <w:rFonts w:ascii="Garamond" w:hAnsi="Garamond"/>
          <w:sz w:val="24"/>
          <w:szCs w:val="24"/>
        </w:rPr>
        <w:t>justado a derecho, resulta indispensable realizar una nueva visita técnica orientada exclusivamente a:</w:t>
      </w:r>
    </w:p>
    <w:p w:rsidR="00BD38CF" w:rsidRPr="000C721B" w:rsidRDefault="00BD38CF" w:rsidP="000C721B">
      <w:pPr>
        <w:jc w:val="both"/>
        <w:rPr>
          <w:rFonts w:ascii="Garamond" w:hAnsi="Garamond"/>
          <w:sz w:val="24"/>
          <w:szCs w:val="24"/>
        </w:rPr>
      </w:pPr>
    </w:p>
    <w:p w:rsidR="00BD38CF" w:rsidRPr="000C721B" w:rsidRDefault="000C721B" w:rsidP="000C721B">
      <w:pPr>
        <w:jc w:val="both"/>
        <w:rPr>
          <w:rFonts w:ascii="Garamond" w:hAnsi="Garamond"/>
          <w:sz w:val="24"/>
          <w:szCs w:val="24"/>
        </w:rPr>
      </w:pPr>
      <w:r w:rsidRPr="000C721B">
        <w:rPr>
          <w:rFonts w:ascii="Garamond" w:hAnsi="Garamond"/>
          <w:sz w:val="24"/>
          <w:szCs w:val="24"/>
        </w:rPr>
        <w:lastRenderedPageBreak/>
        <w:t>1. Identificar al propietario, poseedor, tenedor o responsable material de las estructuras.</w:t>
      </w:r>
    </w:p>
    <w:p w:rsidR="00BD38CF" w:rsidRPr="000C721B" w:rsidRDefault="000C721B" w:rsidP="000C721B">
      <w:pPr>
        <w:jc w:val="both"/>
        <w:rPr>
          <w:rFonts w:ascii="Garamond" w:hAnsi="Garamond"/>
          <w:sz w:val="24"/>
          <w:szCs w:val="24"/>
        </w:rPr>
      </w:pPr>
      <w:r w:rsidRPr="000C721B">
        <w:rPr>
          <w:rFonts w:ascii="Garamond" w:hAnsi="Garamond"/>
          <w:sz w:val="24"/>
          <w:szCs w:val="24"/>
        </w:rPr>
        <w:t>2. Verificar si existe actividad económica, uso o explotació</w:t>
      </w:r>
      <w:r w:rsidRPr="000C721B">
        <w:rPr>
          <w:rFonts w:ascii="Garamond" w:hAnsi="Garamond"/>
          <w:sz w:val="24"/>
          <w:szCs w:val="24"/>
        </w:rPr>
        <w:t>n actual de las casetas.</w:t>
      </w:r>
    </w:p>
    <w:p w:rsidR="00BD38CF" w:rsidRPr="000C721B" w:rsidRDefault="000C721B" w:rsidP="000C721B">
      <w:pPr>
        <w:jc w:val="both"/>
        <w:rPr>
          <w:rFonts w:ascii="Garamond" w:hAnsi="Garamond"/>
          <w:sz w:val="24"/>
          <w:szCs w:val="24"/>
        </w:rPr>
      </w:pPr>
      <w:r w:rsidRPr="000C721B">
        <w:rPr>
          <w:rFonts w:ascii="Garamond" w:hAnsi="Garamond"/>
          <w:sz w:val="24"/>
          <w:szCs w:val="24"/>
        </w:rPr>
        <w:t>3. Recabar información testimonial o documental que permita precisar la identidad del presunto infractor.</w:t>
      </w:r>
    </w:p>
    <w:p w:rsidR="00BD38CF" w:rsidRPr="000C721B" w:rsidRDefault="000C721B" w:rsidP="000C721B">
      <w:pPr>
        <w:jc w:val="both"/>
        <w:rPr>
          <w:rFonts w:ascii="Garamond" w:hAnsi="Garamond"/>
          <w:sz w:val="24"/>
          <w:szCs w:val="24"/>
        </w:rPr>
      </w:pPr>
      <w:r w:rsidRPr="000C721B">
        <w:rPr>
          <w:rFonts w:ascii="Garamond" w:hAnsi="Garamond"/>
          <w:sz w:val="24"/>
          <w:szCs w:val="24"/>
        </w:rPr>
        <w:t xml:space="preserve">4. Levantar un acta completa que incluya identificación plena y demás </w:t>
      </w:r>
      <w:proofErr w:type="spellStart"/>
      <w:r w:rsidRPr="000C721B">
        <w:rPr>
          <w:rFonts w:ascii="Garamond" w:hAnsi="Garamond"/>
          <w:sz w:val="24"/>
          <w:szCs w:val="24"/>
        </w:rPr>
        <w:t>datos</w:t>
      </w:r>
      <w:proofErr w:type="spellEnd"/>
      <w:r w:rsidRPr="000C721B">
        <w:rPr>
          <w:rFonts w:ascii="Garamond" w:hAnsi="Garamond"/>
          <w:sz w:val="24"/>
          <w:szCs w:val="24"/>
        </w:rPr>
        <w:t xml:space="preserve"> </w:t>
      </w:r>
      <w:proofErr w:type="spellStart"/>
      <w:r w:rsidRPr="000C721B">
        <w:rPr>
          <w:rFonts w:ascii="Garamond" w:hAnsi="Garamond"/>
          <w:sz w:val="24"/>
          <w:szCs w:val="24"/>
        </w:rPr>
        <w:t>relevantes</w:t>
      </w:r>
      <w:proofErr w:type="spellEnd"/>
      <w:r w:rsidRPr="000C721B">
        <w:rPr>
          <w:rFonts w:ascii="Garamond" w:hAnsi="Garamond"/>
          <w:sz w:val="24"/>
          <w:szCs w:val="24"/>
        </w:rPr>
        <w:t>.</w:t>
      </w:r>
    </w:p>
    <w:p w:rsidR="00BD38CF" w:rsidRPr="000C721B" w:rsidRDefault="000C721B" w:rsidP="000C721B">
      <w:pPr>
        <w:jc w:val="both"/>
        <w:rPr>
          <w:rFonts w:ascii="Garamond" w:hAnsi="Garamond"/>
          <w:sz w:val="24"/>
          <w:szCs w:val="24"/>
        </w:rPr>
      </w:pPr>
      <w:r w:rsidRPr="000C721B">
        <w:rPr>
          <w:rFonts w:ascii="Garamond" w:hAnsi="Garamond"/>
          <w:sz w:val="24"/>
          <w:szCs w:val="24"/>
        </w:rPr>
        <w:t>Esta actuación se justifica en los p</w:t>
      </w:r>
      <w:r w:rsidRPr="000C721B">
        <w:rPr>
          <w:rFonts w:ascii="Garamond" w:hAnsi="Garamond"/>
          <w:sz w:val="24"/>
          <w:szCs w:val="24"/>
        </w:rPr>
        <w:t xml:space="preserve">rincipios de eficacia, debido proceso y verdad material, previstos en el CPACA, y en la necesidad de asegurar que la decisión administrativa sea adoptada contra quien realmente ha ejecutado o </w:t>
      </w:r>
      <w:proofErr w:type="spellStart"/>
      <w:r w:rsidRPr="000C721B">
        <w:rPr>
          <w:rFonts w:ascii="Garamond" w:hAnsi="Garamond"/>
          <w:sz w:val="24"/>
          <w:szCs w:val="24"/>
        </w:rPr>
        <w:t>mantiene</w:t>
      </w:r>
      <w:proofErr w:type="spellEnd"/>
      <w:r w:rsidRPr="000C721B">
        <w:rPr>
          <w:rFonts w:ascii="Garamond" w:hAnsi="Garamond"/>
          <w:sz w:val="24"/>
          <w:szCs w:val="24"/>
        </w:rPr>
        <w:t xml:space="preserve"> la </w:t>
      </w:r>
      <w:proofErr w:type="spellStart"/>
      <w:r w:rsidRPr="000C721B">
        <w:rPr>
          <w:rFonts w:ascii="Garamond" w:hAnsi="Garamond"/>
          <w:sz w:val="24"/>
          <w:szCs w:val="24"/>
        </w:rPr>
        <w:t>ocupación</w:t>
      </w:r>
      <w:proofErr w:type="spellEnd"/>
      <w:r w:rsidRPr="000C721B">
        <w:rPr>
          <w:rFonts w:ascii="Garamond" w:hAnsi="Garamond"/>
          <w:sz w:val="24"/>
          <w:szCs w:val="24"/>
        </w:rPr>
        <w:t>.</w:t>
      </w:r>
    </w:p>
    <w:p w:rsidR="00BD38CF" w:rsidRPr="000C721B" w:rsidRDefault="000C721B" w:rsidP="000C721B">
      <w:pPr>
        <w:jc w:val="both"/>
        <w:rPr>
          <w:rFonts w:ascii="Garamond" w:hAnsi="Garamond"/>
          <w:b/>
          <w:sz w:val="24"/>
          <w:szCs w:val="24"/>
        </w:rPr>
      </w:pPr>
      <w:r w:rsidRPr="000C721B">
        <w:rPr>
          <w:rFonts w:ascii="Garamond" w:hAnsi="Garamond"/>
          <w:b/>
          <w:sz w:val="24"/>
          <w:szCs w:val="24"/>
        </w:rPr>
        <w:t>CONCLUSIÓN:</w:t>
      </w:r>
    </w:p>
    <w:p w:rsidR="00BD38CF" w:rsidRPr="000C721B" w:rsidRDefault="000C721B" w:rsidP="000C721B">
      <w:pPr>
        <w:jc w:val="both"/>
        <w:rPr>
          <w:rFonts w:ascii="Garamond" w:hAnsi="Garamond"/>
          <w:sz w:val="24"/>
          <w:szCs w:val="24"/>
        </w:rPr>
      </w:pPr>
      <w:r w:rsidRPr="000C721B">
        <w:rPr>
          <w:rFonts w:ascii="Garamond" w:hAnsi="Garamond"/>
          <w:sz w:val="24"/>
          <w:szCs w:val="24"/>
        </w:rPr>
        <w:t>Con fundamento en los artícu</w:t>
      </w:r>
      <w:r w:rsidRPr="000C721B">
        <w:rPr>
          <w:rFonts w:ascii="Garamond" w:hAnsi="Garamond"/>
          <w:sz w:val="24"/>
          <w:szCs w:val="24"/>
        </w:rPr>
        <w:t>los 34, 35, 36 y 37 de la Ley 1437 de 2011, y dado que no es posible determinar la identidad del responsable con las pruebas actuales, se considera jurídicamente procedente ordenar la práctica de una nueva visita técnica para la individualización del presu</w:t>
      </w:r>
      <w:r w:rsidRPr="000C721B">
        <w:rPr>
          <w:rFonts w:ascii="Garamond" w:hAnsi="Garamond"/>
          <w:sz w:val="24"/>
          <w:szCs w:val="24"/>
        </w:rPr>
        <w:t xml:space="preserve">nto infractor. Esta diligencia permitirá continuar el trámite sancionatorio con las garantías </w:t>
      </w:r>
      <w:proofErr w:type="spellStart"/>
      <w:r w:rsidRPr="000C721B">
        <w:rPr>
          <w:rFonts w:ascii="Garamond" w:hAnsi="Garamond"/>
          <w:sz w:val="24"/>
          <w:szCs w:val="24"/>
        </w:rPr>
        <w:t>constitucionales</w:t>
      </w:r>
      <w:proofErr w:type="spellEnd"/>
      <w:r w:rsidRPr="000C721B">
        <w:rPr>
          <w:rFonts w:ascii="Garamond" w:hAnsi="Garamond"/>
          <w:sz w:val="24"/>
          <w:szCs w:val="24"/>
        </w:rPr>
        <w:t xml:space="preserve"> y </w:t>
      </w:r>
      <w:proofErr w:type="spellStart"/>
      <w:r w:rsidRPr="000C721B">
        <w:rPr>
          <w:rFonts w:ascii="Garamond" w:hAnsi="Garamond"/>
          <w:sz w:val="24"/>
          <w:szCs w:val="24"/>
        </w:rPr>
        <w:t>legales</w:t>
      </w:r>
      <w:proofErr w:type="spellEnd"/>
      <w:r w:rsidRPr="000C721B">
        <w:rPr>
          <w:rFonts w:ascii="Garamond" w:hAnsi="Garamond"/>
          <w:sz w:val="24"/>
          <w:szCs w:val="24"/>
        </w:rPr>
        <w:t xml:space="preserve"> </w:t>
      </w:r>
      <w:proofErr w:type="spellStart"/>
      <w:r w:rsidRPr="000C721B">
        <w:rPr>
          <w:rFonts w:ascii="Garamond" w:hAnsi="Garamond"/>
          <w:sz w:val="24"/>
          <w:szCs w:val="24"/>
        </w:rPr>
        <w:t>exigidas</w:t>
      </w:r>
      <w:proofErr w:type="spellEnd"/>
      <w:r w:rsidRPr="000C721B">
        <w:rPr>
          <w:rFonts w:ascii="Garamond" w:hAnsi="Garamond"/>
          <w:sz w:val="24"/>
          <w:szCs w:val="24"/>
        </w:rPr>
        <w:t>.</w:t>
      </w:r>
    </w:p>
    <w:p w:rsidR="00BD38CF" w:rsidRPr="000C721B" w:rsidRDefault="000C721B" w:rsidP="000C721B">
      <w:pPr>
        <w:jc w:val="both"/>
        <w:rPr>
          <w:rFonts w:ascii="Garamond" w:hAnsi="Garamond"/>
          <w:b/>
          <w:sz w:val="24"/>
          <w:szCs w:val="24"/>
        </w:rPr>
      </w:pPr>
      <w:r w:rsidRPr="000C721B">
        <w:rPr>
          <w:rFonts w:ascii="Garamond" w:hAnsi="Garamond"/>
          <w:b/>
          <w:sz w:val="24"/>
          <w:szCs w:val="24"/>
        </w:rPr>
        <w:t>RECOMENDACIÓN:</w:t>
      </w:r>
    </w:p>
    <w:p w:rsidR="00BD38CF" w:rsidRPr="000C721B" w:rsidRDefault="000C721B" w:rsidP="000C721B">
      <w:pPr>
        <w:jc w:val="both"/>
        <w:rPr>
          <w:rFonts w:ascii="Garamond" w:hAnsi="Garamond"/>
          <w:sz w:val="24"/>
          <w:szCs w:val="24"/>
        </w:rPr>
      </w:pPr>
      <w:r w:rsidRPr="000C721B">
        <w:rPr>
          <w:rFonts w:ascii="Garamond" w:hAnsi="Garamond"/>
          <w:sz w:val="24"/>
          <w:szCs w:val="24"/>
        </w:rPr>
        <w:t xml:space="preserve">Expedir un Auto que ordene la nueva visita técnica, indicando el objetivo específico de individualización y </w:t>
      </w:r>
      <w:r w:rsidRPr="000C721B">
        <w:rPr>
          <w:rFonts w:ascii="Garamond" w:hAnsi="Garamond"/>
          <w:sz w:val="24"/>
          <w:szCs w:val="24"/>
        </w:rPr>
        <w:t>señalando el deber de incorporar el acta resultante al expediente para efectos de continuar con el trámite sancionatorio.</w:t>
      </w:r>
    </w:p>
    <w:bookmarkEnd w:id="0"/>
    <w:p w:rsidR="00BD38CF" w:rsidRPr="000C721B" w:rsidRDefault="00BD38CF" w:rsidP="000C721B">
      <w:pPr>
        <w:jc w:val="both"/>
        <w:rPr>
          <w:rFonts w:ascii="Garamond" w:hAnsi="Garamond"/>
          <w:sz w:val="24"/>
          <w:szCs w:val="24"/>
        </w:rPr>
      </w:pPr>
    </w:p>
    <w:sectPr w:rsidR="00BD38CF" w:rsidRPr="000C721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721B"/>
    <w:rsid w:val="0015074B"/>
    <w:rsid w:val="0029639D"/>
    <w:rsid w:val="00326F90"/>
    <w:rsid w:val="00AA1D8D"/>
    <w:rsid w:val="00B47730"/>
    <w:rsid w:val="00BD38CF"/>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0F28D9"/>
  <w14:defaultImageDpi w14:val="300"/>
  <w15:docId w15:val="{7D05AE3C-F5BB-4D24-9464-3EDCFF91B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0D82C-9A17-43D3-B740-760674E3C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2697</Characters>
  <Application>Microsoft Office Word</Application>
  <DocSecurity>0</DocSecurity>
  <Lines>22</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Carlos Andrés Silva Polo</cp:lastModifiedBy>
  <cp:revision>2</cp:revision>
  <dcterms:created xsi:type="dcterms:W3CDTF">2025-11-21T21:26:00Z</dcterms:created>
  <dcterms:modified xsi:type="dcterms:W3CDTF">2025-11-21T21:26:00Z</dcterms:modified>
  <cp:category/>
</cp:coreProperties>
</file>